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83" w:rsidRPr="00C95F83" w:rsidRDefault="00C95F83" w:rsidP="008C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C95F8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95F83" w:rsidRPr="00C95F83" w:rsidRDefault="00C95F83" w:rsidP="008C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83">
        <w:rPr>
          <w:rFonts w:ascii="Times New Roman" w:hAnsi="Times New Roman" w:cs="Times New Roman"/>
          <w:b/>
          <w:sz w:val="28"/>
          <w:szCs w:val="28"/>
        </w:rPr>
        <w:t xml:space="preserve"> ДУБОВООВРАЖНОГО СЕЛЬСКОГО ПОСЕЛЕНИЯ </w:t>
      </w:r>
    </w:p>
    <w:p w:rsidR="00C95F83" w:rsidRPr="00C95F83" w:rsidRDefault="00C95F83" w:rsidP="008C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83">
        <w:rPr>
          <w:rFonts w:ascii="Times New Roman" w:hAnsi="Times New Roman" w:cs="Times New Roman"/>
          <w:b/>
          <w:sz w:val="28"/>
          <w:szCs w:val="28"/>
        </w:rPr>
        <w:t xml:space="preserve">СВЕТЛОЯРСКОГО МУНИЦИПАЛЬНОГО РАЙОНА </w:t>
      </w:r>
    </w:p>
    <w:p w:rsidR="00C95F83" w:rsidRPr="00C95F83" w:rsidRDefault="00C95F83" w:rsidP="008C41B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95F83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4200BB" w:rsidRDefault="004200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4200BB" w:rsidRDefault="004200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ПРОЕКТ</w:t>
      </w:r>
    </w:p>
    <w:p w:rsidR="000D123E" w:rsidRPr="00C95F83" w:rsidRDefault="00C95F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ПОСТАНОВЛЕНИЕ</w:t>
      </w:r>
    </w:p>
    <w:p w:rsidR="000D123E" w:rsidRPr="00C95F83" w:rsidRDefault="000D123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B3A9B" w:rsidRPr="00EE5854" w:rsidRDefault="0015698A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5854">
        <w:rPr>
          <w:rFonts w:ascii="Times New Roman" w:eastAsia="Times New Roman" w:hAnsi="Times New Roman" w:cs="Times New Roman"/>
          <w:color w:val="000000"/>
          <w:sz w:val="24"/>
        </w:rPr>
        <w:t>00.00.</w:t>
      </w:r>
      <w:r w:rsidR="00C95F83" w:rsidRPr="00EE5854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C95F83" w:rsidRPr="00EE5854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</w:t>
      </w:r>
      <w:r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EE5854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</w:t>
      </w:r>
      <w:r w:rsidR="00C95F83" w:rsidRPr="00EE5854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Pr="00EE5854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5C7F0A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>контро</w:t>
      </w:r>
      <w:r w:rsidR="0092401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ля на автомобильном транспорте </w:t>
      </w:r>
      <w:r w:rsidR="005C7F0A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и в дорожном хозяйстве в границах </w:t>
      </w:r>
      <w:r w:rsidR="001A064A" w:rsidRPr="001A064A">
        <w:rPr>
          <w:rFonts w:ascii="Times New Roman" w:eastAsia="Times New Roman" w:hAnsi="Times New Roman" w:cs="Times New Roman"/>
          <w:b/>
          <w:bCs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 w:rsidR="001A064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924011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="006E020D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", </w:t>
      </w:r>
      <w:r w:rsidR="00741A54" w:rsidRPr="00FD4A99">
        <w:rPr>
          <w:rFonts w:ascii="Times New Roman" w:eastAsia="Times New Roman" w:hAnsi="Times New Roman" w:cs="Times New Roman"/>
          <w:color w:val="000000"/>
          <w:sz w:val="24"/>
        </w:rPr>
        <w:t>на основании</w:t>
      </w:r>
      <w:r w:rsidR="001955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93E27" w:rsidRPr="00593E27">
        <w:rPr>
          <w:rFonts w:ascii="Times New Roman" w:eastAsia="Times New Roman" w:hAnsi="Times New Roman" w:cs="Times New Roman"/>
          <w:color w:val="000000"/>
          <w:sz w:val="24"/>
        </w:rPr>
        <w:t>письма Комитета экономической политики и развития Волгоградской области  от 09.09.2024 года № 07-08-02-24/9036</w:t>
      </w:r>
      <w:r w:rsidR="00741A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1155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556D" w:rsidRPr="0011556D">
        <w:rPr>
          <w:rFonts w:ascii="Times New Roman" w:eastAsia="Times New Roman" w:hAnsi="Times New Roman" w:cs="Times New Roman"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11556D" w:rsidRPr="0011556D">
        <w:rPr>
          <w:rFonts w:ascii="Times New Roman" w:eastAsia="Times New Roman" w:hAnsi="Times New Roman" w:cs="Times New Roman"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 w:rsidR="0011556D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C95F83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C95F83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7" w:rsidRPr="008F7E47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 xml:space="preserve">ля на автомобильном транспорте </w:t>
      </w:r>
      <w:r w:rsidR="008F7E47" w:rsidRPr="008F7E47">
        <w:rPr>
          <w:rFonts w:ascii="Times New Roman" w:eastAsia="Times New Roman" w:hAnsi="Times New Roman" w:cs="Times New Roman"/>
          <w:color w:val="000000"/>
          <w:sz w:val="24"/>
        </w:rPr>
        <w:t>и в дорожном хозяйстве в границах</w:t>
      </w:r>
      <w:r w:rsidR="008F7E47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7E5E06" w:rsidRPr="007E5E06">
        <w:rPr>
          <w:rFonts w:ascii="Times New Roman" w:eastAsia="Times New Roman" w:hAnsi="Times New Roman" w:cs="Times New Roman"/>
          <w:bCs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 w:rsidR="007E5E06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C95F83">
        <w:rPr>
          <w:rFonts w:ascii="Times New Roman" w:eastAsia="Times New Roman" w:hAnsi="Times New Roman" w:cs="Times New Roman"/>
          <w:color w:val="000000"/>
          <w:sz w:val="24"/>
        </w:rPr>
        <w:t xml:space="preserve">Дубовоовражного сельского поселения                                 </w:t>
      </w:r>
      <w:r w:rsidR="006F664E">
        <w:rPr>
          <w:rFonts w:ascii="Times New Roman" w:eastAsia="Times New Roman" w:hAnsi="Times New Roman" w:cs="Times New Roman"/>
          <w:color w:val="000000"/>
          <w:sz w:val="24"/>
        </w:rPr>
        <w:t xml:space="preserve">          ______________</w:t>
      </w: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C95F83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</w:p>
    <w:p w:rsidR="00C95F83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</w:p>
    <w:p w:rsidR="00C95F83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C95F83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П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риложение</w:t>
      </w:r>
    </w:p>
    <w:p w:rsidR="000D123E" w:rsidRDefault="00645A3A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Default="001B4E2C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Дубо</w:t>
      </w:r>
      <w:r w:rsidR="00FD4A99"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</w:rPr>
        <w:t>овражного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3C7468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C95F83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C7468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C95F83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C7468">
        <w:rPr>
          <w:rFonts w:ascii="Times New Roman" w:eastAsia="Times New Roman" w:hAnsi="Times New Roman" w:cs="Times New Roman"/>
          <w:color w:val="000000"/>
          <w:sz w:val="24"/>
        </w:rPr>
        <w:t>00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0F38A7" w:rsidRPr="000F38A7"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контроля на автомобильном транспорте и в дорожном хозяйстве в границах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803CBA" w:rsidRPr="00803CBA">
        <w:rPr>
          <w:rFonts w:ascii="Times New Roman" w:eastAsia="Times New Roman" w:hAnsi="Times New Roman" w:cs="Times New Roman"/>
          <w:b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 w:rsidR="00803CB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924011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645A3A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33A6" w:rsidRDefault="004B33A6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F74A8" w:rsidRPr="008F74A8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 и в дорожном хозяйстве в границах</w:t>
      </w:r>
      <w:r w:rsidR="00655CD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55CD5" w:rsidRPr="00655CD5">
        <w:rPr>
          <w:rFonts w:ascii="Times New Roman" w:eastAsia="Times New Roman" w:hAnsi="Times New Roman" w:cs="Times New Roman"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655CD5" w:rsidRPr="00655CD5">
        <w:rPr>
          <w:rFonts w:ascii="Times New Roman" w:eastAsia="Times New Roman" w:hAnsi="Times New Roman" w:cs="Times New Roman"/>
          <w:color w:val="000000"/>
          <w:sz w:val="24"/>
        </w:rPr>
        <w:t xml:space="preserve">Дубовоовражного сельского поселения Светлоярского муниципального района Волгоградской области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153F43">
        <w:rPr>
          <w:rFonts w:ascii="Times New Roman" w:eastAsia="Times New Roman" w:hAnsi="Times New Roman" w:cs="Times New Roman"/>
          <w:color w:val="000000"/>
          <w:sz w:val="24"/>
        </w:rPr>
        <w:t>, контрольный орган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</w:t>
      </w:r>
      <w:r w:rsidR="00764065" w:rsidRPr="00764065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 и в дорожном хозяйстве в границах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C3D72" w:rsidRPr="004C3D72">
        <w:rPr>
          <w:rFonts w:ascii="Times New Roman" w:eastAsia="Times New Roman" w:hAnsi="Times New Roman" w:cs="Times New Roman"/>
          <w:color w:val="000000"/>
          <w:sz w:val="24"/>
        </w:rPr>
        <w:t>Дубовоовражного сельского поселения Светлоярского муниципального района Волгоградской области</w:t>
      </w:r>
      <w:r w:rsidR="004C3D7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F12EC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</w:t>
      </w:r>
      <w:proofErr w:type="gramEnd"/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F326AA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законных оснований для их проведения. </w:t>
      </w:r>
    </w:p>
    <w:p w:rsidR="002862F3" w:rsidRDefault="001F58E6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6B7C1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7673E8">
        <w:rPr>
          <w:rFonts w:ascii="Times New Roman" w:eastAsia="Times New Roman" w:hAnsi="Times New Roman" w:cs="Times New Roman"/>
          <w:color w:val="000000"/>
          <w:sz w:val="24"/>
        </w:rPr>
        <w:t xml:space="preserve">проводились следующие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мероприятия, предусмотренные программой профилактики 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>рисков причинения вреда (ущерба) охраняемым законом ценностям при осуществлении муниципального контроля на 202</w:t>
      </w:r>
      <w:r w:rsidR="002862F3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3E7A0E">
        <w:rPr>
          <w:rFonts w:ascii="Times New Roman" w:eastAsia="Times New Roman" w:hAnsi="Times New Roman" w:cs="Times New Roman"/>
          <w:color w:val="000000"/>
          <w:sz w:val="24"/>
        </w:rPr>
        <w:t xml:space="preserve">, утвержденной постановлением администрации </w:t>
      </w:r>
      <w:r w:rsidR="003E7A0E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303212" w:rsidRPr="00303212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303212" w:rsidRPr="00303212">
        <w:rPr>
          <w:rFonts w:ascii="Times New Roman" w:eastAsia="Times New Roman" w:hAnsi="Times New Roman" w:cs="Times New Roman"/>
          <w:color w:val="000000"/>
          <w:sz w:val="24"/>
        </w:rPr>
        <w:t>.11.202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3E7A0E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2862F3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71407D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3032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правоприменительной практики за 202</w:t>
      </w:r>
      <w:r w:rsidR="006B7C1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приведенных данных о профилактической работе администрации в 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2862F3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lastRenderedPageBreak/>
        <w:t>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A106D" w:rsidRDefault="00B7404E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A106D" w:rsidRPr="008A106D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897BF7" w:rsidRDefault="00B7404E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BE0DCC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профилактики направлена на предотвращение совершения нарушений подконтрольными субъектами, в этой связи, администрацией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>разработан следующий комплекс профилактических мероприятий на 202</w:t>
      </w:r>
      <w:r w:rsidR="00924011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  <w:r w:rsidR="00BE0D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48F" w:rsidRDefault="00B7404E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  <w:r w:rsidR="004E048F" w:rsidRPr="004E048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4E048F" w:rsidRDefault="004E048F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40"/>
        <w:gridCol w:w="3007"/>
        <w:gridCol w:w="2408"/>
        <w:gridCol w:w="3508"/>
      </w:tblGrid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D123E" w:rsidRDefault="00645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lastRenderedPageBreak/>
              <w:t>Еженедельно (по мере обновления информации)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37084D" w:rsidRDefault="00303212" w:rsidP="0037084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>Ведущий специалист Администрация Дубовоовражного сельского поселения</w:t>
            </w:r>
          </w:p>
        </w:tc>
      </w:tr>
      <w:tr w:rsidR="000D123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BC24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:rsidR="000D123E" w:rsidRDefault="00645A3A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Default="00645A3A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позднее 30 января</w:t>
            </w:r>
            <w:r w:rsidR="00BD515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03212">
              <w:rPr>
                <w:rFonts w:ascii="Times New Roman" w:eastAsia="Times New Roman" w:hAnsi="Times New Roman" w:cs="Times New Roman"/>
                <w:sz w:val="20"/>
              </w:rPr>
              <w:t>202</w:t>
            </w:r>
            <w:r w:rsidR="00924011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30321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года, </w:t>
            </w:r>
          </w:p>
          <w:p w:rsidR="000D123E" w:rsidRDefault="000D1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>Глава Дубовоовражного сельского поселения</w:t>
            </w:r>
          </w:p>
        </w:tc>
      </w:tr>
      <w:tr w:rsidR="000D123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0D123E" w:rsidRDefault="00645A3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>Глава Дубовоовражного сельского поселения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>Ведущий специалист Администрации Дубовоовражного сельского поселения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303212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0D123E" w:rsidRPr="00303212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видеоконференцсвязи.</w:t>
            </w:r>
          </w:p>
          <w:p w:rsidR="000D123E" w:rsidRPr="00303212" w:rsidRDefault="00645A3A" w:rsidP="000F5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312E9" w:rsidRPr="00303212" w:rsidRDefault="007312E9" w:rsidP="000F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212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12" w:rsidRPr="00303212" w:rsidRDefault="008C4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 октября 202</w:t>
            </w:r>
            <w:r w:rsidR="009240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D123E" w:rsidRPr="00303212" w:rsidRDefault="006721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212">
              <w:rPr>
                <w:rFonts w:ascii="Times New Roman" w:hAnsi="Times New Roman" w:cs="Times New Roman"/>
                <w:sz w:val="18"/>
                <w:szCs w:val="18"/>
              </w:rPr>
              <w:t xml:space="preserve">-по решениям  </w:t>
            </w:r>
            <w:r w:rsidRPr="003032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lastRenderedPageBreak/>
              <w:t>Инспектор (ведущий специалист) Администрации Дубовоовражного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645A3A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645A3A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C95F83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:rsidR="00BC0CF8" w:rsidRPr="00C95F83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C0CF8" w:rsidRPr="00C95F83" w:rsidRDefault="00BC0CF8" w:rsidP="00BC0CF8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0CF8" w:rsidRPr="00C95F83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C0CF8" w:rsidRPr="00C95F83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C0CF8" w:rsidRPr="00C95F83" w:rsidTr="00503ABB">
        <w:trPr>
          <w:trHeight w:val="1244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C95F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C0CF8" w:rsidRPr="00C95F83" w:rsidRDefault="00BC0CF8" w:rsidP="00BC0C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C0CF8" w:rsidRPr="00C95F83" w:rsidTr="00503ABB">
        <w:trPr>
          <w:trHeight w:val="41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C95F83" w:rsidTr="00503ABB">
        <w:trPr>
          <w:trHeight w:val="52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C95F83" w:rsidTr="00503ABB">
        <w:trPr>
          <w:trHeight w:val="52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BC0CF8" w:rsidTr="00503ABB">
        <w:trPr>
          <w:trHeight w:val="529"/>
        </w:trPr>
        <w:tc>
          <w:tcPr>
            <w:tcW w:w="426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0C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C95F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0108D"/>
    <w:rsid w:val="000213ED"/>
    <w:rsid w:val="00022818"/>
    <w:rsid w:val="00023AD1"/>
    <w:rsid w:val="00054435"/>
    <w:rsid w:val="00067ADC"/>
    <w:rsid w:val="000704FA"/>
    <w:rsid w:val="000807C5"/>
    <w:rsid w:val="000A5FFB"/>
    <w:rsid w:val="000B36E7"/>
    <w:rsid w:val="000D123E"/>
    <w:rsid w:val="000D7FAD"/>
    <w:rsid w:val="000F38A7"/>
    <w:rsid w:val="000F53A6"/>
    <w:rsid w:val="0011556D"/>
    <w:rsid w:val="00141F50"/>
    <w:rsid w:val="00153F43"/>
    <w:rsid w:val="0015698A"/>
    <w:rsid w:val="00184AFB"/>
    <w:rsid w:val="00191534"/>
    <w:rsid w:val="001955E5"/>
    <w:rsid w:val="001A064A"/>
    <w:rsid w:val="001B4E2C"/>
    <w:rsid w:val="001B6B47"/>
    <w:rsid w:val="001D5837"/>
    <w:rsid w:val="001D67C6"/>
    <w:rsid w:val="001E0313"/>
    <w:rsid w:val="001F58E6"/>
    <w:rsid w:val="00202BD1"/>
    <w:rsid w:val="00210ECC"/>
    <w:rsid w:val="00216C8B"/>
    <w:rsid w:val="00284EA5"/>
    <w:rsid w:val="002862F3"/>
    <w:rsid w:val="002916B7"/>
    <w:rsid w:val="002A2BBC"/>
    <w:rsid w:val="002B3A9B"/>
    <w:rsid w:val="002C33ED"/>
    <w:rsid w:val="00303212"/>
    <w:rsid w:val="00305D67"/>
    <w:rsid w:val="003243D1"/>
    <w:rsid w:val="003251DC"/>
    <w:rsid w:val="00335687"/>
    <w:rsid w:val="003424FA"/>
    <w:rsid w:val="0036460F"/>
    <w:rsid w:val="0037077E"/>
    <w:rsid w:val="0037084D"/>
    <w:rsid w:val="00377C8B"/>
    <w:rsid w:val="003A4717"/>
    <w:rsid w:val="003A723A"/>
    <w:rsid w:val="003C7468"/>
    <w:rsid w:val="003E40A4"/>
    <w:rsid w:val="003E7A0E"/>
    <w:rsid w:val="004200BB"/>
    <w:rsid w:val="0042473E"/>
    <w:rsid w:val="00486EA7"/>
    <w:rsid w:val="004908EE"/>
    <w:rsid w:val="004A7CFA"/>
    <w:rsid w:val="004B2E2C"/>
    <w:rsid w:val="004B33A6"/>
    <w:rsid w:val="004C3D72"/>
    <w:rsid w:val="004E048F"/>
    <w:rsid w:val="0051273A"/>
    <w:rsid w:val="00517E88"/>
    <w:rsid w:val="00525E48"/>
    <w:rsid w:val="0056633F"/>
    <w:rsid w:val="00592F86"/>
    <w:rsid w:val="00593E27"/>
    <w:rsid w:val="00594354"/>
    <w:rsid w:val="005C2308"/>
    <w:rsid w:val="005C7F0A"/>
    <w:rsid w:val="005D1E3A"/>
    <w:rsid w:val="005D2F2A"/>
    <w:rsid w:val="00645A3A"/>
    <w:rsid w:val="00655CD5"/>
    <w:rsid w:val="006617E9"/>
    <w:rsid w:val="0067213E"/>
    <w:rsid w:val="006A6247"/>
    <w:rsid w:val="006B7C1F"/>
    <w:rsid w:val="006E020D"/>
    <w:rsid w:val="006F664E"/>
    <w:rsid w:val="0071407D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673E8"/>
    <w:rsid w:val="007956B3"/>
    <w:rsid w:val="007A7AC3"/>
    <w:rsid w:val="007B09B6"/>
    <w:rsid w:val="007C6B7A"/>
    <w:rsid w:val="007D14A8"/>
    <w:rsid w:val="007E0729"/>
    <w:rsid w:val="007E5E06"/>
    <w:rsid w:val="00803CBA"/>
    <w:rsid w:val="00810009"/>
    <w:rsid w:val="00822315"/>
    <w:rsid w:val="0085320C"/>
    <w:rsid w:val="00886BF1"/>
    <w:rsid w:val="00897BF7"/>
    <w:rsid w:val="008A106D"/>
    <w:rsid w:val="008A1D81"/>
    <w:rsid w:val="008A6ADC"/>
    <w:rsid w:val="008B41D3"/>
    <w:rsid w:val="008C41B9"/>
    <w:rsid w:val="008D4CE2"/>
    <w:rsid w:val="008F0734"/>
    <w:rsid w:val="008F74A8"/>
    <w:rsid w:val="008F7E47"/>
    <w:rsid w:val="00924011"/>
    <w:rsid w:val="009256BA"/>
    <w:rsid w:val="009279F5"/>
    <w:rsid w:val="009D0D81"/>
    <w:rsid w:val="009D59F5"/>
    <w:rsid w:val="00A70F2A"/>
    <w:rsid w:val="00AC6BEA"/>
    <w:rsid w:val="00AE0F02"/>
    <w:rsid w:val="00B00C36"/>
    <w:rsid w:val="00B65243"/>
    <w:rsid w:val="00B66124"/>
    <w:rsid w:val="00B7404E"/>
    <w:rsid w:val="00B754AF"/>
    <w:rsid w:val="00BA09BF"/>
    <w:rsid w:val="00BA40A1"/>
    <w:rsid w:val="00BC0CF8"/>
    <w:rsid w:val="00BC24DB"/>
    <w:rsid w:val="00BC6A99"/>
    <w:rsid w:val="00BD5155"/>
    <w:rsid w:val="00BE0DCC"/>
    <w:rsid w:val="00C22AAD"/>
    <w:rsid w:val="00C7174C"/>
    <w:rsid w:val="00C95F83"/>
    <w:rsid w:val="00CC2B37"/>
    <w:rsid w:val="00CC7968"/>
    <w:rsid w:val="00CE361A"/>
    <w:rsid w:val="00D23AA0"/>
    <w:rsid w:val="00D24625"/>
    <w:rsid w:val="00D277AC"/>
    <w:rsid w:val="00D46E30"/>
    <w:rsid w:val="00D50370"/>
    <w:rsid w:val="00D80DBE"/>
    <w:rsid w:val="00D97D62"/>
    <w:rsid w:val="00DA1392"/>
    <w:rsid w:val="00DC6798"/>
    <w:rsid w:val="00DE0713"/>
    <w:rsid w:val="00DF12EC"/>
    <w:rsid w:val="00E2047A"/>
    <w:rsid w:val="00E308F1"/>
    <w:rsid w:val="00E53DF8"/>
    <w:rsid w:val="00E6341E"/>
    <w:rsid w:val="00E804DA"/>
    <w:rsid w:val="00E900C7"/>
    <w:rsid w:val="00ED3BDD"/>
    <w:rsid w:val="00ED7822"/>
    <w:rsid w:val="00EE5854"/>
    <w:rsid w:val="00EF2FE7"/>
    <w:rsid w:val="00F326AA"/>
    <w:rsid w:val="00F63A99"/>
    <w:rsid w:val="00F82881"/>
    <w:rsid w:val="00FB2C1C"/>
    <w:rsid w:val="00FC1723"/>
    <w:rsid w:val="00FD37A6"/>
    <w:rsid w:val="00FD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3</cp:revision>
  <cp:lastPrinted>2023-11-13T05:53:00Z</cp:lastPrinted>
  <dcterms:created xsi:type="dcterms:W3CDTF">2025-10-01T07:54:00Z</dcterms:created>
  <dcterms:modified xsi:type="dcterms:W3CDTF">2025-10-01T08:01:00Z</dcterms:modified>
</cp:coreProperties>
</file>